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6B" w:rsidRDefault="00F2606B" w:rsidP="00F2606B">
      <w:r>
        <w:t>2015/16</w:t>
      </w:r>
    </w:p>
    <w:p w:rsidR="00F2606B" w:rsidRDefault="00F2606B" w:rsidP="00F2606B"/>
    <w:p w:rsidR="00F2606B" w:rsidRDefault="00F2606B" w:rsidP="00F2606B">
      <w:pPr>
        <w:pStyle w:val="Akapitzlist"/>
        <w:numPr>
          <w:ilvl w:val="0"/>
          <w:numId w:val="1"/>
        </w:numPr>
      </w:pPr>
      <w:r>
        <w:t>Problem niedożywienia w starości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 xml:space="preserve">Dietetyka w ujęciu starożytnych lekarzy na podstawie wybranych przykładów 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>Fruktoza – efekty jej działania na organizm-przegląd najnowszych prac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>Produkty specjalnego przeznaczenia żywieniowego w postępowaniu dietetycznym dzieci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>Hipercholesterolemia - leczenie żywieniowe i farmakologiczne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>Żywienie w chorobach przewlekłych – na przykładzie przewlekłego zapalenia trzustki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 xml:space="preserve">Stres jako czynnik warunkujący wybór żywności 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>Postępowanie żywieniowe w wybranych zespołach złego wchłaniania – na przykładzie celiakii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>Odżywianie osób zdrowych aktywnych fizycznie i z cukrzycą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 xml:space="preserve">Postępowanie żywieniowe w wybranych przewlekłych chorobach na przykładzie niealkoholowej choroby </w:t>
      </w:r>
      <w:proofErr w:type="spellStart"/>
      <w:r>
        <w:t>stłuszczeniowej</w:t>
      </w:r>
      <w:proofErr w:type="spellEnd"/>
      <w:r>
        <w:t xml:space="preserve"> wątroby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 xml:space="preserve"> Działanie lecznicze grzybów jadalnych w diecie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>Zastosowanie bakterii pro biotycznych w żywności funkcjonalnej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>Gołębiowska Aleksandra – „Problem otyłości w starości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 xml:space="preserve">Rola uwarunkowań </w:t>
      </w:r>
      <w:proofErr w:type="spellStart"/>
      <w:r>
        <w:t>socjo</w:t>
      </w:r>
      <w:proofErr w:type="spellEnd"/>
      <w:r>
        <w:t xml:space="preserve">-demograficznych w procesie kształtowania się upodobań żywieniowych 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>Możliwości przygotowania chorych z niską wagą ciała do planowych zabiegów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>Składniki pożywienia i zioła stosowane i zalecane w cukrzycy – przegląd najnowszych prac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>Olej kokosowy modny ale czy zdrowy?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>Żywieniowe czynniki ryzyka chorób nowotworowych przewodu pokarmowego – na przykładzie raka jelita grubego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>Zasady odżywiania w starości. Projekt promujący prozdrowotne zachowania żywieniowe oraz aktywność fizyczną wśród osób starszych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>Ocena rozwoju i stanu odżywienia dzieci dializowanych przewlekle od urodzenia – praca kazuistyczna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 xml:space="preserve">Wspomagająca rola żywienia u pacjentów z nowotworem jelita grubego poddawanych chemioterapii i radioterapii 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>Społeczne i kulturowe uwarunkowania otyłości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 xml:space="preserve">Rola leczenia dietetycznego w chorobie </w:t>
      </w:r>
      <w:proofErr w:type="spellStart"/>
      <w:r>
        <w:t>refluksowej</w:t>
      </w:r>
      <w:proofErr w:type="spellEnd"/>
    </w:p>
    <w:p w:rsidR="00F2606B" w:rsidRDefault="00F2606B" w:rsidP="00F2606B">
      <w:pPr>
        <w:pStyle w:val="Akapitzlist"/>
        <w:numPr>
          <w:ilvl w:val="0"/>
          <w:numId w:val="1"/>
        </w:numPr>
      </w:pPr>
      <w:r>
        <w:t>Rośliny lecznicze w terapii chorób nerek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 xml:space="preserve">Rola </w:t>
      </w:r>
      <w:proofErr w:type="spellStart"/>
      <w:r>
        <w:t>mikrobiota</w:t>
      </w:r>
      <w:proofErr w:type="spellEnd"/>
      <w:r>
        <w:t xml:space="preserve"> przewodu pokarmowego w utrzymaniu homeostazy ustroju 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>Najczęstsze błędy w odżywianiu w starości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>Możliwości przygotowania chorych z niską wagą ciała do planowanych zabiegów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>Specyfika zaburzeń odżywiania u dzieci i młodzieży chorujących na cukrzyce i czynniki emocjonalne i rodzinne utrudniające właściwe odżywianie w cukrzycy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>Spożycie warzyw i owoców wśród osób starszych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>Tłuszcze trans, występowanie w produktach spożywczych, wpływ na organizm człowieka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 xml:space="preserve">Postępowanie żywieniowe w wybranych chorobach układu pokarmowego – na przykładzie zespołu jelita drażliwego 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>Pacjent z cukrzycą typu 2, otyłością oraz podwyższonymi wartościami cholesterolu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>Rola żywienia pozajelitowego w chorobach układu pokarmowego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lastRenderedPageBreak/>
        <w:t xml:space="preserve">Dietetyka w pismach św. Hildegardy z </w:t>
      </w:r>
      <w:proofErr w:type="spellStart"/>
      <w:r>
        <w:t>Bingen</w:t>
      </w:r>
      <w:proofErr w:type="spellEnd"/>
      <w:r>
        <w:t xml:space="preserve"> w odniesieniu do wiedzy i praktyki medycznej epoki średniowiecza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>Żywienie pacjentki z rozpoznanym nadciśnieniem tętniczym i otyłością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 xml:space="preserve">Zasady odżywiania kobiet w ciąży” 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proofErr w:type="spellStart"/>
      <w:r>
        <w:t>Nutrikosmetyka</w:t>
      </w:r>
      <w:proofErr w:type="spellEnd"/>
    </w:p>
    <w:p w:rsidR="00F2606B" w:rsidRDefault="00F2606B" w:rsidP="00F2606B">
      <w:pPr>
        <w:pStyle w:val="Akapitzlist"/>
        <w:numPr>
          <w:ilvl w:val="0"/>
          <w:numId w:val="1"/>
        </w:numPr>
      </w:pPr>
      <w:r>
        <w:t>Pasożyty a  żywność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>Rola prawidłowego odżywiania i suplementacji w sportach siłowo-wytrzymałościowych na przykładzie osób uprawiających crossfit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>Dieta bezglutenowa i jej zastosowanie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 xml:space="preserve">Zjawisko  </w:t>
      </w:r>
      <w:proofErr w:type="spellStart"/>
      <w:r>
        <w:t>brideoreksji</w:t>
      </w:r>
      <w:proofErr w:type="spellEnd"/>
      <w:r>
        <w:t xml:space="preserve"> i </w:t>
      </w:r>
      <w:proofErr w:type="spellStart"/>
      <w:r>
        <w:t>alkoreksji</w:t>
      </w:r>
      <w:proofErr w:type="spellEnd"/>
      <w:r>
        <w:t xml:space="preserve"> na tle zaburzeń odżywiania 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 xml:space="preserve">Zalecenia dietetyczne u chorych hemodializowanych 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 xml:space="preserve">Ortoreksja, </w:t>
      </w:r>
      <w:proofErr w:type="spellStart"/>
      <w:r>
        <w:t>pregoreksja</w:t>
      </w:r>
      <w:proofErr w:type="spellEnd"/>
      <w:r>
        <w:t xml:space="preserve"> i ich uwarunkowania a prawidłowe zachowania żywieniowe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>Odżywianie osób uprawiających sporty wytrzymałościowe na przykładzie biegów długodystansowych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 xml:space="preserve">Leczenie dietetyczne w zespole </w:t>
      </w:r>
      <w:proofErr w:type="spellStart"/>
      <w:r>
        <w:t>nefrycznym</w:t>
      </w:r>
      <w:proofErr w:type="spellEnd"/>
      <w:r>
        <w:t xml:space="preserve"> w przebiegu ziarniakowości z zapaleniem naczyń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>Zaburzenia lipidowe oraz stres oksydacyjny jako główne czynniki rozwoju miażdżycy. Leczenie dietetyczne i farmakologiczne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>Zaburzenia jedzenia u chłopców w okresie dojrzewania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>Racjonalne odżywianie jako forma dbałości o zdrowie wśród osób z nadwagą i otyłością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>Zespół metaboliczny u dzieci – praca poglądowa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>Dieta wegetariańska wśród krakowskich studentów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 xml:space="preserve">Zaburzenia karmienia u dzieci w praktyce dietetyka 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 xml:space="preserve">Dieta optymalna dr Jana Kwaśniewskiego w ujęciu krytycznym 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 xml:space="preserve">Żywienie w chorobach przewlekłych – na przykładzie choroby </w:t>
      </w:r>
      <w:proofErr w:type="spellStart"/>
      <w:r>
        <w:t>Leśniowskiego-Crohna</w:t>
      </w:r>
      <w:proofErr w:type="spellEnd"/>
      <w:r>
        <w:t xml:space="preserve"> 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>Ocena żywienia zdrowego dziecka w pierwszym roku życia</w:t>
      </w:r>
    </w:p>
    <w:p w:rsidR="00F2606B" w:rsidRDefault="00F2606B" w:rsidP="00F2606B">
      <w:r>
        <w:t>2016/17</w:t>
      </w:r>
    </w:p>
    <w:p w:rsidR="00F2606B" w:rsidRDefault="00F2606B" w:rsidP="00F2606B">
      <w:pPr>
        <w:pStyle w:val="Akapitzlist"/>
        <w:numPr>
          <w:ilvl w:val="0"/>
          <w:numId w:val="2"/>
        </w:numPr>
      </w:pPr>
      <w:r w:rsidRPr="00F2606B">
        <w:t xml:space="preserve">Ocena nietolerancji fruktozy u dzieci </w:t>
      </w:r>
    </w:p>
    <w:p w:rsidR="00E01709" w:rsidRPr="00F2606B" w:rsidRDefault="00E01709" w:rsidP="00F2606B">
      <w:pPr>
        <w:pStyle w:val="Akapitzlist"/>
        <w:numPr>
          <w:ilvl w:val="0"/>
          <w:numId w:val="2"/>
        </w:numPr>
      </w:pPr>
      <w:r>
        <w:t>Interakcje wybranych leków stosowanych w terapii nadciśnienia tętniczego ze składnikami suplementów diety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</w:pPr>
      <w:r w:rsidRPr="00F2606B">
        <w:t xml:space="preserve">Żywienie w nieswoistych </w:t>
      </w:r>
      <w:r w:rsidR="00C44A15">
        <w:t xml:space="preserve">chorobach zapalnych </w:t>
      </w:r>
      <w:r w:rsidRPr="00F2606B">
        <w:t xml:space="preserve">jelit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</w:pPr>
      <w:r w:rsidRPr="00F2606B">
        <w:t>Rola wysiłku fizycznego w profilaktyce i leczeniu chorób metabolicznych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</w:pPr>
      <w:r w:rsidRPr="00F2606B">
        <w:t>Programowanie żywieniowe - rola diety w prewencji chorób</w:t>
      </w:r>
      <w:r>
        <w:t xml:space="preserve">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 w:rsidRPr="00F2606B">
        <w:rPr>
          <w:rStyle w:val="Pogrubienie"/>
          <w:b w:val="0"/>
        </w:rPr>
        <w:t xml:space="preserve">Wpływ zawartości białka, węglowodanów, tłuszczów, indeksu insulinowego i </w:t>
      </w:r>
      <w:proofErr w:type="spellStart"/>
      <w:r w:rsidRPr="00F2606B">
        <w:rPr>
          <w:rStyle w:val="Pogrubienie"/>
          <w:b w:val="0"/>
        </w:rPr>
        <w:t>glikemicznego</w:t>
      </w:r>
      <w:proofErr w:type="spellEnd"/>
      <w:r w:rsidRPr="00F2606B">
        <w:rPr>
          <w:rStyle w:val="Pogrubienie"/>
          <w:b w:val="0"/>
        </w:rPr>
        <w:t xml:space="preserve"> na glikemie </w:t>
      </w:r>
      <w:proofErr w:type="spellStart"/>
      <w:r w:rsidRPr="00F2606B">
        <w:rPr>
          <w:rStyle w:val="Pogrubienie"/>
          <w:b w:val="0"/>
        </w:rPr>
        <w:t>poposiłkową</w:t>
      </w:r>
      <w:proofErr w:type="spellEnd"/>
      <w:r w:rsidRPr="00F2606B">
        <w:rPr>
          <w:rStyle w:val="Pogrubienie"/>
          <w:b w:val="0"/>
        </w:rPr>
        <w:t xml:space="preserve"> – przegląd najnowszych doniesień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</w:pPr>
      <w:r w:rsidRPr="00F2606B">
        <w:t xml:space="preserve">Dieta </w:t>
      </w:r>
      <w:proofErr w:type="spellStart"/>
      <w:r w:rsidRPr="00F2606B">
        <w:t>ketogenna</w:t>
      </w:r>
      <w:proofErr w:type="spellEnd"/>
      <w:r w:rsidRPr="00F2606B">
        <w:t xml:space="preserve"> – charakterystyka, mechanizm działania, zastosowanie we wspomaganiu leczenia chorób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</w:pPr>
      <w:r w:rsidRPr="00F2606B">
        <w:t xml:space="preserve">Wpływ czynników środowiskowych na rozwój otyłości prostej u dzieci i młodzieży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 w:rsidRPr="00F2606B">
        <w:rPr>
          <w:rStyle w:val="Pogrubienie"/>
          <w:b w:val="0"/>
        </w:rPr>
        <w:t xml:space="preserve">Rola diety w leczeniu zaburzeń metabolicznych związanych z zespołem </w:t>
      </w:r>
      <w:proofErr w:type="spellStart"/>
      <w:r w:rsidRPr="00F2606B">
        <w:rPr>
          <w:rStyle w:val="Pogrubienie"/>
          <w:b w:val="0"/>
        </w:rPr>
        <w:t>policystycznych</w:t>
      </w:r>
      <w:proofErr w:type="spellEnd"/>
      <w:r w:rsidRPr="00F2606B">
        <w:rPr>
          <w:rStyle w:val="Pogrubienie"/>
          <w:b w:val="0"/>
        </w:rPr>
        <w:t xml:space="preserve"> jajników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</w:pPr>
      <w:r w:rsidRPr="00F2606B">
        <w:t xml:space="preserve">Rola spożycia soli kuchennej a kontrola ciśnienia tętniczego krwi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</w:pPr>
      <w:r w:rsidRPr="00F2606B">
        <w:rPr>
          <w:rFonts w:eastAsia="Times New Roman" w:cs="Times New Roman"/>
          <w:lang w:eastAsia="pl-PL"/>
        </w:rPr>
        <w:t>Piwo jako środek dietetyczno-leczniczy w XIX wieku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</w:pPr>
      <w:r w:rsidRPr="00F2606B">
        <w:t xml:space="preserve">Dieta w prewencji chorób nowotworowych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 w:rsidRPr="00F2606B">
        <w:rPr>
          <w:rStyle w:val="Pogrubienie"/>
          <w:b w:val="0"/>
        </w:rPr>
        <w:t>Analiza porównawcza nawyków żywieniowych u pacjentów uzależnionych od substancji psychoaktywnych w odniesieniu do zasad racjonalnego żywienia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</w:pPr>
      <w:r w:rsidRPr="00F2606B">
        <w:lastRenderedPageBreak/>
        <w:t xml:space="preserve">Laktacja – rola karmienia piersią oraz dieta matki karmiącej i jej wpływ na rozwój dziecka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</w:pPr>
      <w:r w:rsidRPr="00F2606B">
        <w:t xml:space="preserve">Napoje energetyzujące – fakty i mity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</w:pPr>
      <w:r w:rsidRPr="00F2606B">
        <w:t xml:space="preserve">Nadwrażliwość pokarmowa </w:t>
      </w:r>
      <w:proofErr w:type="spellStart"/>
      <w:r w:rsidRPr="00F2606B">
        <w:t>IgE</w:t>
      </w:r>
      <w:proofErr w:type="spellEnd"/>
      <w:r w:rsidRPr="00F2606B">
        <w:t xml:space="preserve">-zależna i </w:t>
      </w:r>
      <w:proofErr w:type="spellStart"/>
      <w:r w:rsidRPr="00F2606B">
        <w:t>IgE</w:t>
      </w:r>
      <w:proofErr w:type="spellEnd"/>
      <w:r w:rsidRPr="00F2606B">
        <w:t xml:space="preserve">-niezależna - czynniki etiologiczne, objawy kliniczne, diagnostyka i zalecenia dietetyczne 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</w:pPr>
      <w:r w:rsidRPr="00F2606B">
        <w:rPr>
          <w:rFonts w:eastAsia="Times New Roman" w:cs="Times New Roman"/>
          <w:color w:val="000000"/>
          <w:lang w:eastAsia="pl-PL"/>
        </w:rPr>
        <w:t xml:space="preserve">Bezpieczeństwo żywności, a </w:t>
      </w:r>
      <w:proofErr w:type="spellStart"/>
      <w:r w:rsidRPr="00F2606B">
        <w:rPr>
          <w:rFonts w:eastAsia="Times New Roman" w:cs="Times New Roman"/>
          <w:color w:val="000000"/>
          <w:lang w:eastAsia="pl-PL"/>
        </w:rPr>
        <w:t>enteropatogenne</w:t>
      </w:r>
      <w:proofErr w:type="spellEnd"/>
      <w:r w:rsidRPr="00F2606B">
        <w:rPr>
          <w:rFonts w:eastAsia="Times New Roman" w:cs="Times New Roman"/>
          <w:color w:val="000000"/>
          <w:lang w:eastAsia="pl-PL"/>
        </w:rPr>
        <w:t xml:space="preserve"> szczepy </w:t>
      </w:r>
      <w:r w:rsidRPr="00F2606B">
        <w:rPr>
          <w:rFonts w:eastAsia="Times New Roman" w:cs="Times New Roman"/>
          <w:i/>
          <w:iCs/>
          <w:color w:val="000000"/>
          <w:lang w:eastAsia="pl-PL"/>
        </w:rPr>
        <w:t>Escherichia coli</w:t>
      </w:r>
      <w:r w:rsidRPr="00F2606B">
        <w:rPr>
          <w:rFonts w:eastAsia="Times New Roman" w:cs="Times New Roman"/>
          <w:iCs/>
          <w:color w:val="000000"/>
          <w:lang w:eastAsia="pl-PL"/>
        </w:rPr>
        <w:t xml:space="preserve"> </w:t>
      </w:r>
    </w:p>
    <w:p w:rsidR="00F2606B" w:rsidRPr="00F2606B" w:rsidRDefault="00AC1E98" w:rsidP="00F2606B">
      <w:pPr>
        <w:pStyle w:val="Akapitzlist"/>
        <w:numPr>
          <w:ilvl w:val="0"/>
          <w:numId w:val="2"/>
        </w:numPr>
      </w:pPr>
      <w:r>
        <w:t>Częstość i c</w:t>
      </w:r>
      <w:r w:rsidR="00F2606B" w:rsidRPr="00F2606B">
        <w:t xml:space="preserve">harakterystyka spożycia produktów typu fast food przez studentów dietetyki i energetyki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</w:pPr>
      <w:r w:rsidRPr="00F2606B">
        <w:rPr>
          <w:rFonts w:eastAsia="Times New Roman" w:cs="Times New Roman"/>
          <w:lang w:eastAsia="pl-PL"/>
        </w:rPr>
        <w:t>Parazytozy człowieka przenoszone wraz z żywnością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 w:rsidRPr="00F2606B">
        <w:rPr>
          <w:rStyle w:val="Pogrubienie"/>
          <w:b w:val="0"/>
        </w:rPr>
        <w:t xml:space="preserve">Dieta kobiety ciężarnej i w czasie laktacji – jak zmieniły się zalecenia na przestrzeni lat? - praca poglądowa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</w:pPr>
      <w:r w:rsidRPr="00F2606B">
        <w:rPr>
          <w:rFonts w:eastAsia="Times New Roman" w:cs="Times New Roman"/>
          <w:lang w:eastAsia="pl-PL"/>
        </w:rPr>
        <w:t xml:space="preserve">Rola dietetyka w edukacji żywieniowej pacjenta ze świeżo rozpoznaną cukrzycą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</w:pPr>
      <w:proofErr w:type="spellStart"/>
      <w:r w:rsidRPr="00F2606B">
        <w:rPr>
          <w:rFonts w:eastAsia="Times New Roman" w:cs="Times New Roman"/>
          <w:color w:val="000000"/>
          <w:lang w:eastAsia="pl-PL"/>
        </w:rPr>
        <w:t>Probiotyki</w:t>
      </w:r>
      <w:proofErr w:type="spellEnd"/>
      <w:r w:rsidRPr="00F2606B">
        <w:rPr>
          <w:rFonts w:eastAsia="Times New Roman" w:cs="Times New Roman"/>
          <w:color w:val="000000"/>
          <w:lang w:eastAsia="pl-PL"/>
        </w:rPr>
        <w:t xml:space="preserve"> i ich bezpieczeństwo w kontekście żywienia szpitalnego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 w:rsidRPr="00F2606B">
        <w:t>Rola diety śródziemnomorskiej w profilaktyce choroby niedokrwiennej serca u ludzi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</w:pPr>
      <w:r w:rsidRPr="00F2606B">
        <w:rPr>
          <w:rFonts w:eastAsia="Times New Roman" w:cs="Times New Roman"/>
          <w:lang w:eastAsia="pl-PL"/>
        </w:rPr>
        <w:t xml:space="preserve">Zasady żywienia chorych na przełomie XIX i XX wieku w porównaniu do wiedzy współczesnej, na podstawie podręcznika do dietetyki Emy Jaworskiej pt. Kuchnia higieniczna ze szczegółowym uwzględnieniem potrzeb chorych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</w:pPr>
      <w:r w:rsidRPr="00F2606B">
        <w:rPr>
          <w:rFonts w:eastAsia="Calibri" w:cs="Times New Roman"/>
        </w:rPr>
        <w:t xml:space="preserve">Konsekwencje zdrowotne </w:t>
      </w:r>
      <w:r w:rsidR="00C44A15">
        <w:rPr>
          <w:rFonts w:eastAsia="Calibri" w:cs="Times New Roman"/>
        </w:rPr>
        <w:t>anoreksji psychicznej i innych zaburzeń odżywiania</w:t>
      </w:r>
      <w:r w:rsidRPr="00F2606B">
        <w:rPr>
          <w:rFonts w:eastAsia="Calibri" w:cs="Times New Roman"/>
        </w:rPr>
        <w:t xml:space="preserve"> występujących w okresie dzieciństwa i skoku </w:t>
      </w:r>
      <w:proofErr w:type="spellStart"/>
      <w:r w:rsidRPr="00F2606B">
        <w:rPr>
          <w:rFonts w:eastAsia="Calibri" w:cs="Times New Roman"/>
        </w:rPr>
        <w:t>pokwitaniowego</w:t>
      </w:r>
      <w:proofErr w:type="spellEnd"/>
      <w:r w:rsidRPr="00F2606B">
        <w:rPr>
          <w:rFonts w:eastAsia="Calibri" w:cs="Times New Roman"/>
        </w:rPr>
        <w:t xml:space="preserve">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 w:rsidRPr="00F2606B">
        <w:rPr>
          <w:rStyle w:val="Pogrubienie"/>
          <w:b w:val="0"/>
        </w:rPr>
        <w:t xml:space="preserve">Akromegalia i rak tarczycy – opis przypadku i dyskusja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</w:pPr>
      <w:r w:rsidRPr="00F2606B">
        <w:t xml:space="preserve">Dieta w prewencji, w trakcie leczenia i po jego zakończeniu u pacjentów z rakiem przełyku i żołądka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</w:pPr>
      <w:r w:rsidRPr="00F2606B">
        <w:t xml:space="preserve">Naukowa ocena diet wegetariańskich </w:t>
      </w:r>
    </w:p>
    <w:p w:rsidR="00512444" w:rsidRPr="00512444" w:rsidRDefault="00F2606B" w:rsidP="00F2606B">
      <w:pPr>
        <w:pStyle w:val="Akapitzlist"/>
        <w:numPr>
          <w:ilvl w:val="0"/>
          <w:numId w:val="2"/>
        </w:numPr>
      </w:pPr>
      <w:r w:rsidRPr="00512444">
        <w:rPr>
          <w:rFonts w:eastAsia="Times New Roman" w:cs="Times New Roman"/>
          <w:lang w:eastAsia="pl-PL"/>
        </w:rPr>
        <w:t>Możliwości opieki dietetyka nad chorym po zabiegu chi</w:t>
      </w:r>
      <w:r w:rsidR="00512444" w:rsidRPr="00512444">
        <w:rPr>
          <w:rFonts w:eastAsia="Times New Roman" w:cs="Times New Roman"/>
          <w:lang w:eastAsia="pl-PL"/>
        </w:rPr>
        <w:t>rurgicznym w warunkach domowych</w:t>
      </w:r>
    </w:p>
    <w:p w:rsidR="00F2606B" w:rsidRPr="00512444" w:rsidRDefault="00F2606B" w:rsidP="00F2606B">
      <w:pPr>
        <w:pStyle w:val="Akapitzlist"/>
        <w:numPr>
          <w:ilvl w:val="0"/>
          <w:numId w:val="2"/>
        </w:numPr>
      </w:pPr>
      <w:r w:rsidRPr="00512444">
        <w:rPr>
          <w:rFonts w:eastAsia="Times New Roman" w:cs="Times New Roman"/>
          <w:lang w:eastAsia="pl-PL"/>
        </w:rPr>
        <w:t xml:space="preserve"> </w:t>
      </w:r>
      <w:r w:rsidRPr="00512444">
        <w:rPr>
          <w:rFonts w:eastAsia="Calibri" w:cs="Times New Roman"/>
        </w:rPr>
        <w:t>Zaburzenia zachowań żywieniowych w przebiegu depresji  oraz sytuacji stresowych</w:t>
      </w:r>
      <w:r w:rsidR="00512444" w:rsidRPr="00512444">
        <w:rPr>
          <w:rFonts w:eastAsia="Calibri" w:cs="Times New Roman"/>
        </w:rPr>
        <w:t xml:space="preserve"> i ich konsekwencje  zdrowotne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</w:pPr>
      <w:r w:rsidRPr="00F2606B">
        <w:t>Zagrożenia zdrowotne w okre</w:t>
      </w:r>
      <w:r w:rsidR="000148D6">
        <w:t>s</w:t>
      </w:r>
      <w:r w:rsidRPr="00F2606B">
        <w:t>ie menopauzy</w:t>
      </w:r>
      <w:r w:rsidR="00512444">
        <w:t xml:space="preserve"> – rola diety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 w:rsidRPr="00F2606B">
        <w:rPr>
          <w:rStyle w:val="Pogrubienie"/>
          <w:b w:val="0"/>
        </w:rPr>
        <w:t xml:space="preserve">Wczesne i odległe skutki zdrowotne nadużywania alkoholu </w:t>
      </w:r>
    </w:p>
    <w:p w:rsidR="00F2606B" w:rsidRPr="00512444" w:rsidRDefault="00F2606B" w:rsidP="00F2606B">
      <w:pPr>
        <w:pStyle w:val="Akapitzlist"/>
        <w:numPr>
          <w:ilvl w:val="0"/>
          <w:numId w:val="2"/>
        </w:numPr>
      </w:pPr>
      <w:r w:rsidRPr="00512444">
        <w:rPr>
          <w:bCs/>
        </w:rPr>
        <w:t>Sposób odżywiania studentów uczelni wyższych w różnych</w:t>
      </w:r>
      <w:r w:rsidR="00512444" w:rsidRPr="00512444">
        <w:rPr>
          <w:bCs/>
        </w:rPr>
        <w:t xml:space="preserve"> krajach świata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</w:pPr>
      <w:r w:rsidRPr="00F2606B">
        <w:rPr>
          <w:rFonts w:eastAsia="Times New Roman" w:cs="Times New Roman"/>
          <w:lang w:eastAsia="pl-PL"/>
        </w:rPr>
        <w:t xml:space="preserve">Problem zakażeń wywołanych przez </w:t>
      </w:r>
      <w:r w:rsidRPr="00F2606B">
        <w:rPr>
          <w:rFonts w:eastAsia="Times New Roman" w:cs="Times New Roman"/>
          <w:i/>
          <w:iCs/>
          <w:lang w:eastAsia="pl-PL"/>
        </w:rPr>
        <w:t xml:space="preserve">Clostridium  </w:t>
      </w:r>
      <w:proofErr w:type="spellStart"/>
      <w:r w:rsidRPr="00F2606B">
        <w:rPr>
          <w:rFonts w:eastAsia="Times New Roman" w:cs="Times New Roman"/>
          <w:i/>
          <w:iCs/>
          <w:lang w:eastAsia="pl-PL"/>
        </w:rPr>
        <w:t>difficile</w:t>
      </w:r>
      <w:proofErr w:type="spellEnd"/>
      <w:r w:rsidRPr="00F2606B">
        <w:rPr>
          <w:rFonts w:eastAsia="Times New Roman" w:cs="Times New Roman"/>
          <w:lang w:eastAsia="pl-PL"/>
        </w:rPr>
        <w:t xml:space="preserve"> – etiologia, epidemiologia, profilaktyka i leczenie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</w:pPr>
      <w:r w:rsidRPr="00F2606B">
        <w:t xml:space="preserve">Transplantacja mikroflory jelitowej w leczeniu wybranych jednostek chorobowych przewodu pokarmowego </w:t>
      </w:r>
    </w:p>
    <w:p w:rsidR="00F2606B" w:rsidRPr="0060010A" w:rsidRDefault="00F2606B" w:rsidP="00F2606B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 w:rsidRPr="00F2606B">
        <w:rPr>
          <w:rStyle w:val="Pogrubienie"/>
          <w:b w:val="0"/>
        </w:rPr>
        <w:t>Odżywianie kobiet z niedowagą w okresie planowania ciąży, prze</w:t>
      </w:r>
      <w:r w:rsidR="00512444">
        <w:rPr>
          <w:rStyle w:val="Pogrubienie"/>
          <w:b w:val="0"/>
        </w:rPr>
        <w:t>biegu ciąży i wyniki położnicze</w:t>
      </w:r>
    </w:p>
    <w:p w:rsidR="0060010A" w:rsidRPr="00F2606B" w:rsidRDefault="0060010A" w:rsidP="00F2606B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>
        <w:rPr>
          <w:rStyle w:val="Pogrubienie"/>
          <w:b w:val="0"/>
        </w:rPr>
        <w:t>Skutki niedoboru witaminy D dla przebiegu ciąży i wyniki położnicze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 w:rsidRPr="00F2606B">
        <w:rPr>
          <w:rStyle w:val="Pogrubienie"/>
          <w:b w:val="0"/>
        </w:rPr>
        <w:t>Metabolizm jodu i wpływ jego nieprawidłowości u kobiet w okresie planowania ciąży w przeb</w:t>
      </w:r>
      <w:r w:rsidR="00512444">
        <w:rPr>
          <w:rStyle w:val="Pogrubienie"/>
          <w:b w:val="0"/>
        </w:rPr>
        <w:t xml:space="preserve">iegu ciąży i wyniki położnicze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</w:pPr>
      <w:r w:rsidRPr="00F2606B">
        <w:t xml:space="preserve">Dieta wspomagająca leczenie depresji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 w:rsidRPr="00F2606B">
        <w:rPr>
          <w:rStyle w:val="Pogrubienie"/>
          <w:b w:val="0"/>
        </w:rPr>
        <w:t xml:space="preserve">Odżywianie kobiet z niedowaga w okresie planowania ciąży, przebiegu ciąży i wyniki położnicze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 w:rsidRPr="00F2606B">
        <w:rPr>
          <w:rStyle w:val="Pogrubienie"/>
          <w:b w:val="0"/>
        </w:rPr>
        <w:t xml:space="preserve">Stosowanie suplementów w czasie ciąży: konieczność, moda czy zdrowy rozsądek – ocena na podstawie autorskiej ankiety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</w:pPr>
      <w:r w:rsidRPr="00F2606B">
        <w:rPr>
          <w:rFonts w:eastAsia="Calibri" w:cs="Times New Roman"/>
        </w:rPr>
        <w:t xml:space="preserve">Emocjonalne uwarunkowania zaburzeń zachowań  żywieniowych w okresie niemowlęcym </w:t>
      </w:r>
    </w:p>
    <w:p w:rsidR="00F2606B" w:rsidRPr="00512444" w:rsidRDefault="00F2606B" w:rsidP="00F2606B">
      <w:pPr>
        <w:pStyle w:val="Akapitzlist"/>
        <w:numPr>
          <w:ilvl w:val="0"/>
          <w:numId w:val="2"/>
        </w:numPr>
      </w:pPr>
      <w:r w:rsidRPr="00512444">
        <w:t>Dane naukowe na temat stosowania kawy i herbaty w</w:t>
      </w:r>
      <w:r w:rsidR="00512444" w:rsidRPr="00512444">
        <w:t xml:space="preserve"> profilaktyce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 w:rsidRPr="00F2606B">
        <w:rPr>
          <w:rStyle w:val="Pogrubienie"/>
          <w:b w:val="0"/>
        </w:rPr>
        <w:t>Leczenie żywieniowe w chorobie alkoholowej wątroby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 w:rsidRPr="00F2606B">
        <w:rPr>
          <w:rStyle w:val="Pogrubienie"/>
          <w:b w:val="0"/>
          <w:color w:val="000000"/>
        </w:rPr>
        <w:lastRenderedPageBreak/>
        <w:t xml:space="preserve">Ocena czynników wpływających na wybory żywieniowe pacjentów z NJZ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</w:pPr>
      <w:r w:rsidRPr="00F2606B">
        <w:rPr>
          <w:rFonts w:eastAsia="Times New Roman" w:cs="Times New Roman"/>
          <w:color w:val="000000"/>
          <w:lang w:eastAsia="pl-PL"/>
        </w:rPr>
        <w:t>Żywność funkcjonalna o nau</w:t>
      </w:r>
      <w:r w:rsidR="00512444">
        <w:rPr>
          <w:rFonts w:eastAsia="Times New Roman" w:cs="Times New Roman"/>
          <w:color w:val="000000"/>
          <w:lang w:eastAsia="pl-PL"/>
        </w:rPr>
        <w:t>kowo potwierdzonej skuteczności</w:t>
      </w:r>
    </w:p>
    <w:p w:rsidR="00F2606B" w:rsidRPr="00FA7280" w:rsidRDefault="00F2606B" w:rsidP="00F2606B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 w:rsidRPr="00F2606B">
        <w:rPr>
          <w:rFonts w:eastAsia="Times New Roman" w:cs="Times New Roman"/>
          <w:color w:val="000000"/>
          <w:lang w:eastAsia="pl-PL"/>
        </w:rPr>
        <w:t xml:space="preserve">Postępowanie dietetyczne w </w:t>
      </w:r>
      <w:r w:rsidRPr="00F2606B">
        <w:rPr>
          <w:rStyle w:val="Pogrubienie"/>
          <w:b w:val="0"/>
          <w:color w:val="000000"/>
        </w:rPr>
        <w:t xml:space="preserve">alergii na białka mleka krowiego u niemowląt oraz znaczenie </w:t>
      </w:r>
      <w:proofErr w:type="spellStart"/>
      <w:r w:rsidRPr="00F2606B">
        <w:rPr>
          <w:rStyle w:val="Pogrubienie"/>
          <w:b w:val="0"/>
          <w:color w:val="000000"/>
        </w:rPr>
        <w:t>mikrobioty</w:t>
      </w:r>
      <w:proofErr w:type="spellEnd"/>
      <w:r w:rsidRPr="00F2606B">
        <w:rPr>
          <w:rStyle w:val="Pogrubienie"/>
          <w:b w:val="0"/>
          <w:color w:val="000000"/>
        </w:rPr>
        <w:t xml:space="preserve"> jelit w jej rozwoju, przebiegu i prewencji </w:t>
      </w:r>
    </w:p>
    <w:p w:rsidR="00FA7280" w:rsidRPr="00F2606B" w:rsidRDefault="00FA7280" w:rsidP="00F2606B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>
        <w:rPr>
          <w:rStyle w:val="Pogrubienie"/>
          <w:b w:val="0"/>
          <w:color w:val="000000"/>
        </w:rPr>
        <w:t>Zalecenia dietetyczne u chorych po przeszczepieniu nerki.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 w:rsidRPr="00F2606B">
        <w:rPr>
          <w:rStyle w:val="Pogrubienie"/>
          <w:b w:val="0"/>
        </w:rPr>
        <w:t xml:space="preserve">Zachowanie żywieniowe kobiety z otyłością w przebiegu ciąży </w:t>
      </w:r>
      <w:r w:rsidRPr="00F2606B">
        <w:rPr>
          <w:rStyle w:val="Pogrubienie"/>
          <w:b w:val="0"/>
        </w:rPr>
        <w:br/>
        <w:t>i wyniki położnicze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 w:rsidRPr="00F2606B">
        <w:rPr>
          <w:rStyle w:val="Pogrubienie"/>
          <w:b w:val="0"/>
        </w:rPr>
        <w:t xml:space="preserve">Zasady zdrowego odżywiania w czasie laktacji - opracowanie materiałów edukacyjnych </w:t>
      </w:r>
    </w:p>
    <w:p w:rsidR="00F2606B" w:rsidRPr="00512444" w:rsidRDefault="00F2606B" w:rsidP="00F2606B">
      <w:pPr>
        <w:pStyle w:val="Akapitzlist"/>
        <w:numPr>
          <w:ilvl w:val="0"/>
          <w:numId w:val="2"/>
        </w:numPr>
      </w:pPr>
      <w:r w:rsidRPr="00512444">
        <w:t>Zalecenia dietetyczne dla osób ze zdiagnozowaną degrada</w:t>
      </w:r>
      <w:r w:rsidR="00512444" w:rsidRPr="00512444">
        <w:t xml:space="preserve">cją plamki żółtej (AMD)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</w:pPr>
      <w:r w:rsidRPr="00F2606B">
        <w:t>Kiedy stosować dietę bez glutenu</w:t>
      </w:r>
      <w:r w:rsidR="00512444">
        <w:t>?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</w:pPr>
      <w:r w:rsidRPr="00F2606B">
        <w:rPr>
          <w:rFonts w:eastAsia="Times New Roman" w:cs="Times New Roman"/>
          <w:color w:val="000000"/>
          <w:lang w:eastAsia="pl-PL"/>
        </w:rPr>
        <w:t xml:space="preserve">Wirusowe zapalenia wątroby i wymogi żywieniowe podczas choroby i zdrowienia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</w:pPr>
      <w:r w:rsidRPr="00F2606B">
        <w:rPr>
          <w:rFonts w:eastAsia="Times New Roman" w:cs="Times New Roman"/>
          <w:color w:val="000000"/>
          <w:lang w:eastAsia="pl-PL"/>
        </w:rPr>
        <w:t xml:space="preserve">Rola diety w autyzmie wczesnodziecięcym </w:t>
      </w:r>
    </w:p>
    <w:p w:rsidR="00F2606B" w:rsidRPr="00F2606B" w:rsidRDefault="00512444" w:rsidP="00F2606B">
      <w:pPr>
        <w:pStyle w:val="Akapitzlist"/>
        <w:numPr>
          <w:ilvl w:val="0"/>
          <w:numId w:val="2"/>
        </w:numPr>
      </w:pPr>
      <w:r>
        <w:rPr>
          <w:rFonts w:eastAsia="Times New Roman" w:cs="Times New Roman"/>
          <w:color w:val="000000"/>
          <w:lang w:eastAsia="pl-PL"/>
        </w:rPr>
        <w:t>Rola</w:t>
      </w:r>
      <w:r w:rsidR="00F2606B" w:rsidRPr="00F2606B">
        <w:t xml:space="preserve"> kuchni włoskiej w żywieniu studentów </w:t>
      </w:r>
    </w:p>
    <w:p w:rsidR="00F2606B" w:rsidRPr="00F2606B" w:rsidRDefault="00512444" w:rsidP="00F2606B">
      <w:pPr>
        <w:pStyle w:val="Akapitzlist"/>
        <w:numPr>
          <w:ilvl w:val="0"/>
          <w:numId w:val="2"/>
        </w:numPr>
      </w:pPr>
      <w:r>
        <w:t>Ocena</w:t>
      </w:r>
      <w:r w:rsidR="00F2606B" w:rsidRPr="00F2606B">
        <w:t xml:space="preserve"> sposobu żywienia dzieci zdrowych w pierwszym roku życia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</w:pPr>
      <w:r w:rsidRPr="00F2606B">
        <w:t xml:space="preserve">Zalecenia żywieniowe w chorobach </w:t>
      </w:r>
      <w:proofErr w:type="spellStart"/>
      <w:r w:rsidRPr="00F2606B">
        <w:t>neurodegradacyjnych</w:t>
      </w:r>
      <w:proofErr w:type="spellEnd"/>
      <w:r w:rsidRPr="00F2606B">
        <w:t xml:space="preserve">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 w:rsidRPr="00F2606B">
        <w:rPr>
          <w:rStyle w:val="Pogrubienie"/>
          <w:b w:val="0"/>
        </w:rPr>
        <w:t>Zasady żywienia chorych z cukrzycową chorobą nerek w zależności od</w:t>
      </w:r>
      <w:r w:rsidR="00512444">
        <w:rPr>
          <w:rStyle w:val="Pogrubienie"/>
          <w:b w:val="0"/>
        </w:rPr>
        <w:t xml:space="preserve"> stadium zaawansowania choroby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</w:pPr>
      <w:r w:rsidRPr="00F2606B">
        <w:t xml:space="preserve">Dieta opóźniająca rozwój chorób </w:t>
      </w:r>
      <w:proofErr w:type="spellStart"/>
      <w:r w:rsidRPr="00F2606B">
        <w:t>neurodegradacyjnych</w:t>
      </w:r>
      <w:proofErr w:type="spellEnd"/>
      <w:r w:rsidRPr="00F2606B">
        <w:t xml:space="preserve">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</w:pPr>
      <w:r w:rsidRPr="00F2606B">
        <w:t xml:space="preserve">Ziołolecznictwo jako alternatywna metoda wspomagania leczenia </w:t>
      </w:r>
      <w:r w:rsidR="00512444">
        <w:t xml:space="preserve">nadciśnienia tętniczego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 w:rsidRPr="00F2606B">
        <w:rPr>
          <w:rStyle w:val="Pogrubienie"/>
          <w:b w:val="0"/>
        </w:rPr>
        <w:t xml:space="preserve">Zasady postępowania dietetycznego w zespole nerczycowym </w:t>
      </w:r>
    </w:p>
    <w:p w:rsidR="00F2606B" w:rsidRPr="00F2606B" w:rsidRDefault="00E51280" w:rsidP="00F2606B">
      <w:pPr>
        <w:pStyle w:val="Akapitzlist"/>
        <w:numPr>
          <w:ilvl w:val="0"/>
          <w:numId w:val="2"/>
        </w:numPr>
      </w:pPr>
      <w:r>
        <w:rPr>
          <w:rStyle w:val="Pogrubienie"/>
          <w:b w:val="0"/>
        </w:rPr>
        <w:t>Konsekwencje zdrowotne oraz sposób  postępowania dietetycznego w przebiegu bulimii psychicznej.</w:t>
      </w:r>
      <w:bookmarkStart w:id="0" w:name="_GoBack"/>
      <w:bookmarkEnd w:id="0"/>
    </w:p>
    <w:p w:rsidR="00F2606B" w:rsidRPr="00F2606B" w:rsidRDefault="00F2606B" w:rsidP="00F2606B"/>
    <w:p w:rsidR="000200F0" w:rsidRPr="00F2606B" w:rsidRDefault="000200F0" w:rsidP="00F2606B"/>
    <w:sectPr w:rsidR="000200F0" w:rsidRPr="00F26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1B68"/>
    <w:multiLevelType w:val="hybridMultilevel"/>
    <w:tmpl w:val="88965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20645"/>
    <w:multiLevelType w:val="hybridMultilevel"/>
    <w:tmpl w:val="53822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6B"/>
    <w:rsid w:val="000148D6"/>
    <w:rsid w:val="000200F0"/>
    <w:rsid w:val="0004204F"/>
    <w:rsid w:val="00512444"/>
    <w:rsid w:val="0060010A"/>
    <w:rsid w:val="00626EA5"/>
    <w:rsid w:val="00AC1E98"/>
    <w:rsid w:val="00C44A15"/>
    <w:rsid w:val="00E01709"/>
    <w:rsid w:val="00E51280"/>
    <w:rsid w:val="00F2606B"/>
    <w:rsid w:val="00FA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06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260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06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26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925CA-A267-4116-9A46-0E55A79F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1269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Kubik Magdalena</dc:creator>
  <cp:lastModifiedBy>Kubik Magdalena</cp:lastModifiedBy>
  <cp:revision>9</cp:revision>
  <dcterms:created xsi:type="dcterms:W3CDTF">2017-06-27T11:40:00Z</dcterms:created>
  <dcterms:modified xsi:type="dcterms:W3CDTF">2017-11-28T08:55:00Z</dcterms:modified>
</cp:coreProperties>
</file>